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917C15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917C15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CB4075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男生女生一樣好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6A06D1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1841A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2A66B1" w:rsidRDefault="00A944D2" w:rsidP="001841A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1841A6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1841A6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917C1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917C15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17C15" w:rsidP="001841A6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917C15" w:rsidRDefault="00917C15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lastRenderedPageBreak/>
              <w:t>E-A2</w:t>
            </w:r>
            <w:r w:rsidRPr="003C3F42">
              <w:rPr>
                <w:rFonts w:ascii="標楷體" w:eastAsia="標楷體" w:hAnsi="標楷體" w:hint="eastAsia"/>
              </w:rPr>
              <w:t xml:space="preserve"> 具備探索問題的思考能力，並透過體驗與實踐處理日常生活問題。</w:t>
            </w:r>
          </w:p>
          <w:p w:rsidR="00A944D2" w:rsidRPr="00126102" w:rsidRDefault="00917C15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Pr="001841A6" w:rsidRDefault="00917C15" w:rsidP="005D2FC2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917C15" w:rsidRPr="001841A6" w:rsidRDefault="001841A6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1841A6" w:rsidRPr="00126102" w:rsidRDefault="001841A6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917C15" w:rsidRPr="00241B79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917C15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45292B" w:rsidRPr="00126102" w:rsidRDefault="00917C15" w:rsidP="00917C15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6F673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917C15" w:rsidRDefault="00917C15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972"/>
        <w:gridCol w:w="1550"/>
        <w:gridCol w:w="4368"/>
        <w:gridCol w:w="1408"/>
        <w:gridCol w:w="1268"/>
      </w:tblGrid>
      <w:tr w:rsidR="001841A6" w:rsidRPr="0034145B" w:rsidTr="001841A6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1841A6" w:rsidRPr="0034145B" w:rsidRDefault="001841A6" w:rsidP="001841A6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841A6" w:rsidRPr="0034145B" w:rsidTr="001841A6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1841A6" w:rsidRPr="0034145B" w:rsidRDefault="001841A6" w:rsidP="001841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bookmarkStart w:id="0" w:name="_GoBack"/>
            <w:bookmarkEnd w:id="0"/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lastRenderedPageBreak/>
              <w:t>一、引起動機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教師先在黑板上分兩大區，一邊寫上男生，一邊寫上女生，並引導鼓勵學童上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於黑板上寫出自己覺得男生和女生擁有哪些人格特質，例如：男生~帥氣，女生~溫柔。希望透過活動讓學童認識不同的人格特質，也了解學童對不同性別的特質認知。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1.教師進行性別印象的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快問快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答活動，請學童就問題比出○或</w:t>
            </w:r>
            <w:r w:rsidRPr="006A06D1">
              <w:rPr>
                <w:rFonts w:ascii="標楷體" w:eastAsia="標楷體" w:hAnsi="標楷體" w:hint="eastAsia"/>
              </w:rPr>
              <w:sym w:font="Wingdings 2" w:char="F0D0"/>
            </w:r>
            <w:r w:rsidRPr="006A06D1">
              <w:rPr>
                <w:rFonts w:ascii="標楷體" w:eastAsia="標楷體" w:hAnsi="標楷體" w:hint="eastAsia"/>
              </w:rPr>
              <w:t>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（1）男生一定很勇敢。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（2）女生一定很溫柔。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（3）男生說話一定很大聲。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（4）女生一定很細心。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（5）男生運動神經一定很好。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（6）女生畫圖一定很漂亮。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240" w:firstLineChars="200" w:firstLine="48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請學童就自己的想法做出手勢，透過活動讓學童對性別印象有初步的認識，教師不用急著做出澄清。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引讀繪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本《薩琪到底有沒有小雞雞》的內容，引導學童共同討論：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（1）故事中的馬克思、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琪是怎樣個性的人？</w:t>
            </w:r>
          </w:p>
          <w:p w:rsidR="006A06D1" w:rsidRPr="006A06D1" w:rsidRDefault="006A06D1" w:rsidP="006A06D1">
            <w:pPr>
              <w:ind w:leftChars="100" w:left="840" w:hangingChars="250" w:hanging="600"/>
              <w:jc w:val="both"/>
              <w:textAlignment w:val="center"/>
              <w:rPr>
                <w:rFonts w:ascii="標楷體" w:eastAsia="標楷體" w:hAnsi="標楷體"/>
                <w:snapToGrid w:val="0"/>
              </w:rPr>
            </w:pPr>
            <w:r w:rsidRPr="006A06D1">
              <w:rPr>
                <w:rFonts w:ascii="標楷體" w:eastAsia="標楷體" w:hAnsi="標楷體" w:hint="eastAsia"/>
              </w:rPr>
              <w:t>（2）馬克思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怎樣看待</w:t>
            </w:r>
            <w:r w:rsidRPr="006A06D1">
              <w:rPr>
                <w:rFonts w:ascii="標楷體" w:eastAsia="標楷體" w:hAnsi="標楷體" w:hint="eastAsia"/>
              </w:rPr>
              <w:t>自己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？怎樣看待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琪</w:t>
            </w:r>
            <w:r w:rsidRPr="006A06D1">
              <w:rPr>
                <w:rFonts w:ascii="標楷體" w:eastAsia="標楷體" w:hAnsi="標楷體" w:hint="eastAsia"/>
                <w:snapToGrid w:val="0"/>
              </w:rPr>
              <w:t>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（3）馬克思後來有什麼發現？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3.教師引導說明繪本中，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琪會踢足球、爬樹、打架樣樣行，還會騎男生的腳踏車，馬克思懷疑、震驚，因為</w:t>
            </w:r>
            <w:proofErr w:type="gramStart"/>
            <w:r w:rsidRPr="006A06D1">
              <w:rPr>
                <w:rFonts w:ascii="標楷體" w:eastAsia="標楷體" w:hAnsi="標楷體" w:cs="Arial Unicode MS" w:hint="eastAsia"/>
              </w:rPr>
              <w:t>薩</w:t>
            </w:r>
            <w:proofErr w:type="gramEnd"/>
            <w:r w:rsidRPr="006A06D1">
              <w:rPr>
                <w:rFonts w:ascii="標楷體" w:eastAsia="標楷體" w:hAnsi="標楷體" w:cs="Arial Unicode MS" w:hint="eastAsia"/>
              </w:rPr>
              <w:t>琪是很強壯、厲害的人，與馬克思印象中的女生非常不一樣。因為馬克思存有性別的特定印象，才會</w:t>
            </w:r>
            <w:r w:rsidRPr="006A06D1">
              <w:rPr>
                <w:rFonts w:ascii="標楷體" w:eastAsia="標楷體" w:hAnsi="標楷體" w:hint="eastAsia"/>
              </w:rPr>
              <w:t>覺得很</w:t>
            </w:r>
            <w:r w:rsidRPr="006A06D1">
              <w:rPr>
                <w:rFonts w:ascii="標楷體" w:eastAsia="標楷體" w:hAnsi="標楷體" w:hint="eastAsia"/>
              </w:rPr>
              <w:lastRenderedPageBreak/>
              <w:t>震驚、很不可思議。在社會上很多人也會有類似的想法，其實此想法偏差了，每個人都有獨特的個性，不應受性別而有差異。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4.教師就學童於黑板上所填的人格特質加以說明，並請學童思考有哪些人格特質是男生特定？有哪些人格特質是女生特定？或哪些人格特質是男女生都有可能會有的？從討論中，</w:t>
            </w:r>
            <w:proofErr w:type="gramStart"/>
            <w:r w:rsidRPr="006A06D1">
              <w:rPr>
                <w:rFonts w:ascii="標楷體" w:eastAsia="標楷體" w:hAnsi="標楷體" w:hint="eastAsia"/>
              </w:rPr>
              <w:t>釐</w:t>
            </w:r>
            <w:proofErr w:type="gramEnd"/>
            <w:r w:rsidRPr="006A06D1">
              <w:rPr>
                <w:rFonts w:ascii="標楷體" w:eastAsia="標楷體" w:hAnsi="標楷體" w:hint="eastAsia"/>
              </w:rPr>
              <w:t>清許多人格特質不是某性別才有，有些特質其實是男女都可能有的，男生可以溫柔，女生也可以強壯，教師引導說明每個人也都是獨一無二的，都擁有自己的特色、個性，不用受其他人的影響。</w:t>
            </w:r>
          </w:p>
          <w:p w:rsidR="006A06D1" w:rsidRPr="006A06D1" w:rsidRDefault="006A06D1" w:rsidP="006A06D1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6A06D1">
              <w:rPr>
                <w:rFonts w:ascii="標楷體" w:eastAsia="標楷體" w:hAnsi="標楷體" w:hint="eastAsia"/>
                <w:b/>
                <w:bCs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hint="eastAsia"/>
              </w:rPr>
              <w:t>教師引導說明男女生的人格特質是因人而異的，某些</w:t>
            </w:r>
            <w:r w:rsidRPr="006A06D1">
              <w:rPr>
                <w:rFonts w:ascii="標楷體" w:eastAsia="標楷體" w:hAnsi="標楷體" w:cs="新細明體"/>
              </w:rPr>
              <w:t>特質並非完全為男性所有，也並非完全為女性所有</w:t>
            </w:r>
            <w:r w:rsidRPr="006A06D1">
              <w:rPr>
                <w:rFonts w:ascii="標楷體" w:eastAsia="標楷體" w:hAnsi="標楷體" w:cs="新細明體" w:hint="eastAsia"/>
              </w:rPr>
              <w:t>，</w:t>
            </w:r>
            <w:r w:rsidRPr="006A06D1">
              <w:rPr>
                <w:rFonts w:ascii="標楷體" w:eastAsia="標楷體" w:hAnsi="標楷體" w:hint="eastAsia"/>
              </w:rPr>
              <w:t>無論何種性別，都可以同時有不同的人格特質，所以不一定女生或男生就一定要怎麼樣，最重要的要了解自己，喜歡自己，</w:t>
            </w:r>
            <w:r w:rsidRPr="006A06D1">
              <w:rPr>
                <w:rFonts w:ascii="標楷體" w:eastAsia="標楷體" w:hAnsi="標楷體" w:hint="eastAsia"/>
              </w:rPr>
              <w:lastRenderedPageBreak/>
              <w:t>對自己有信心，自在的做自己，不要讓性別框住自己的表現。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(二)男性女性都很好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1.教師利用簡報介紹愛迪生的生平，以及愛迪生所發明的物品。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2.教師提問，學生舉手發表。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(1)愛迪生對這個世界最大的貢獻是什麼？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(2)愛迪生有什麼值得你學習的地方？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(3)你覺得愛迪生具有那些女性特質？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(4)你覺得愛迪生具有那些男性特質？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(5)你會因為愛迪生具有女性特質就認為他是娘娘腔嗎？為什麼？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3.教師利用簡報介紹居禮夫人的生平，以及居禮夫人的貢獻。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4.教師提問，學生舉手回答。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(1)居禮夫人得過幾次諾貝爾獎？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(2)居禮夫人發現了什麼物質？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(3)你覺得居禮夫人具有那些女性特質？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(4)你覺得居禮夫人具有那些男性特質？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(5)你會因為居禮夫人具有男性特質就認為他是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男人婆嗎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？為什麼？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5.請學生學習教師介紹愛迪生及居禮夫人的方式，由老師指定介紹對象的性別後，每組自行蒐集資料並製作簡報，利用五分鐘的時間，向大家介紹不同性別的人在各領域所獲得的成就或貢獻。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(三)破解數字密碼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1.教師於黑板寫上30238和26508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兩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組數字，詢問學生，這兩組數字代表著什麼意義？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2.教師說明這是一項在美國的實驗，30238和26508則是男女生的薪水(詳見附件一)。當這項實驗完成後，更加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凸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顯性別歧視的問題。目前在美國情況已經開始改善。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3.教師再次於黑板寫上300000-1500000，請學生猜猜看這個數字又是代表著什麼意義？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4.教師宣布答案，這是違反性別工作平等法時的罰款。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 xml:space="preserve">   性別工作平等法第 7 條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雇主對求職者或受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僱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者之招募、甄試、進用、分發、配置、考績或</w:t>
            </w:r>
            <w:proofErr w:type="gramStart"/>
            <w:r w:rsidRPr="006A06D1">
              <w:rPr>
                <w:rFonts w:ascii="標楷體" w:eastAsia="標楷體" w:hAnsi="標楷體" w:cs="新細明體" w:hint="eastAsia"/>
              </w:rPr>
              <w:t>陞遷等</w:t>
            </w:r>
            <w:proofErr w:type="gramEnd"/>
            <w:r w:rsidRPr="006A06D1">
              <w:rPr>
                <w:rFonts w:ascii="標楷體" w:eastAsia="標楷體" w:hAnsi="標楷體" w:cs="新細明體" w:hint="eastAsia"/>
              </w:rPr>
              <w:t>，不</w:t>
            </w:r>
            <w:r w:rsidRPr="006A06D1">
              <w:rPr>
                <w:rFonts w:ascii="標楷體" w:eastAsia="標楷體" w:hAnsi="標楷體" w:cs="新細明體" w:hint="eastAsia"/>
              </w:rPr>
              <w:lastRenderedPageBreak/>
              <w:t>得因性別或性傾向而有差別待遇。但工作性質僅適合特定性別者，不在此限。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1841A6">
        <w:trPr>
          <w:trHeight w:val="1304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5.請學生共同閱讀附件二。然後由教師提問，學生回答。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(1)你覺得早餐店老闆能不能夠主張因為要穿女僕裝，僅限於女生，所以符合性別平等法？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(2)請你想想看，有什麼工作的性質是僅適合特定性別的人？男性服飾模特兒、女性內衣模特兒。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(3)你曾經聽過或看過類似具有性別歧視的情形嗎？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6. 教師強調每個人都有工作的權利，且不能受到性別的限制。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7.請學生完成學習單。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6A06D1" w:rsidRPr="0034145B" w:rsidTr="006A06D1">
        <w:trPr>
          <w:trHeight w:val="128"/>
        </w:trPr>
        <w:tc>
          <w:tcPr>
            <w:tcW w:w="172" w:type="pct"/>
            <w:vAlign w:val="center"/>
          </w:tcPr>
          <w:p w:rsidR="006A06D1" w:rsidRPr="0034145B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</w:tcPr>
          <w:p w:rsidR="006A06D1" w:rsidRPr="006A06D1" w:rsidRDefault="006A06D1" w:rsidP="006A06D1">
            <w:pPr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6A06D1">
              <w:rPr>
                <w:rFonts w:ascii="標楷體" w:eastAsia="標楷體" w:hAnsi="標楷體" w:cs="細明體" w:hint="eastAsia"/>
              </w:rPr>
              <w:t>男生女生一樣好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582" w:type="pct"/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並運用同理心增進人際關係。</w:t>
            </w:r>
          </w:p>
        </w:tc>
        <w:tc>
          <w:tcPr>
            <w:tcW w:w="678" w:type="pct"/>
            <w:tcBorders>
              <w:right w:val="single" w:sz="4" w:space="0" w:color="auto"/>
            </w:tcBorders>
          </w:tcPr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A06D1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lastRenderedPageBreak/>
              <w:t>1.認識性別刻板印象的意義。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2.了解性別角色的多樣性與差異性。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3.破除性別刻板化印象對自我發展的限制。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4.學會不讓性別阻礙自己的潛力發展。</w:t>
            </w:r>
          </w:p>
          <w:p w:rsidR="006A06D1" w:rsidRPr="006A06D1" w:rsidRDefault="006A06D1" w:rsidP="006A06D1">
            <w:pPr>
              <w:jc w:val="both"/>
              <w:rPr>
                <w:rFonts w:ascii="標楷體" w:eastAsia="標楷體" w:hAnsi="標楷體"/>
              </w:rPr>
            </w:pPr>
            <w:r w:rsidRPr="006A06D1">
              <w:rPr>
                <w:rFonts w:ascii="標楷體" w:eastAsia="標楷體" w:hAnsi="標楷體" w:hint="eastAsia"/>
              </w:rPr>
              <w:t>5.學習尊重兩性的意見與想法。</w:t>
            </w:r>
          </w:p>
        </w:tc>
        <w:tc>
          <w:tcPr>
            <w:tcW w:w="1502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(四)男生女生一樣行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1.教師說明以前有許多行業都會受到性別限制，例如以前只有男性可以當軍人，現在則是不論男女均可以從軍。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2.教師利用簡報介紹男性護理師及女性黑手，讓學生了解就算與一般人觀念中的職業性別不同，仍然可以把事情做得很好，成為當中的佼佼者。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3.請學生發表自己還聽過或看過那些類似的例子。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三、歸納統整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教師再次強調不論男女，都是父母親心中的寶貝，而且能力也不會因為性別而有所不同，所以選擇職業時，也不必因為性別而受限。而我們也不應該對性別有著刻板印象，更不該使用帶有性別歧視的語詞。應該試著學習不同性別的優</w:t>
            </w:r>
            <w:r w:rsidRPr="006A06D1">
              <w:rPr>
                <w:rFonts w:ascii="標楷體" w:eastAsia="標楷體" w:hAnsi="標楷體" w:cs="新細明體" w:hint="eastAsia"/>
              </w:rPr>
              <w:lastRenderedPageBreak/>
              <w:t>點，拓展自己的視野，讓自己的能力更加進步。</w:t>
            </w:r>
          </w:p>
        </w:tc>
        <w:tc>
          <w:tcPr>
            <w:tcW w:w="484" w:type="pct"/>
            <w:vAlign w:val="center"/>
          </w:tcPr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lastRenderedPageBreak/>
              <w:t>專注聆聽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樂於分享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討論發表</w:t>
            </w:r>
          </w:p>
          <w:p w:rsidR="006A06D1" w:rsidRPr="006A06D1" w:rsidRDefault="006A06D1" w:rsidP="006A06D1">
            <w:pPr>
              <w:rPr>
                <w:rFonts w:ascii="標楷體" w:eastAsia="標楷體" w:hAnsi="標楷體" w:cs="新細明體"/>
              </w:rPr>
            </w:pPr>
            <w:r w:rsidRPr="006A06D1">
              <w:rPr>
                <w:rFonts w:ascii="標楷體" w:eastAsia="標楷體" w:hAnsi="標楷體" w:cs="新細明體" w:hint="eastAsia"/>
              </w:rPr>
              <w:t>完成學習單</w:t>
            </w:r>
          </w:p>
        </w:tc>
        <w:tc>
          <w:tcPr>
            <w:tcW w:w="436" w:type="pct"/>
          </w:tcPr>
          <w:p w:rsidR="006A06D1" w:rsidRPr="0034145B" w:rsidRDefault="006A06D1" w:rsidP="006A06D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1841A6" w:rsidRDefault="001841A6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E24361" w:rsidRDefault="00E2436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917C1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性平教育</w:t>
            </w:r>
            <w:r w:rsidRPr="0034145B">
              <w:rPr>
                <w:rFonts w:ascii="標楷體" w:eastAsia="標楷體" w:hAnsi="標楷體" w:hint="eastAsia"/>
                <w:sz w:val="28"/>
              </w:rPr>
              <w:t>-</w:t>
            </w:r>
            <w:r w:rsidRPr="00241B79">
              <w:rPr>
                <w:rFonts w:ascii="標楷體" w:eastAsia="標楷體" w:hAnsi="標楷體" w:hint="eastAsia"/>
                <w:sz w:val="28"/>
              </w:rPr>
              <w:t>令人欣喜的成長</w:t>
            </w:r>
          </w:p>
        </w:tc>
        <w:tc>
          <w:tcPr>
            <w:tcW w:w="2554" w:type="dxa"/>
            <w:gridSpan w:val="2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F622E7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F622E7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6節</w:t>
            </w:r>
          </w:p>
        </w:tc>
      </w:tr>
      <w:tr w:rsidR="00917C1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張惠怡編修</w:t>
            </w:r>
          </w:p>
        </w:tc>
      </w:tr>
      <w:tr w:rsidR="00917C1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917C15" w:rsidRPr="00126102" w:rsidRDefault="00917C15" w:rsidP="00917C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917C15" w:rsidRPr="00126102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917C15" w:rsidRPr="00126102" w:rsidRDefault="006A06D1" w:rsidP="00917C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</w:t>
            </w:r>
            <w:r w:rsidR="00917C15" w:rsidRPr="00126102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917C15" w:rsidRPr="002A66B1" w:rsidRDefault="00917C15" w:rsidP="00917C1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917C15" w:rsidRDefault="00917C15" w:rsidP="00917C15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917C15" w:rsidRPr="00126102" w:rsidRDefault="00917C15" w:rsidP="00917C1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917C15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6D1" w:rsidRPr="00FF0625" w:rsidRDefault="006A06D1" w:rsidP="006A06D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A06D1" w:rsidRPr="009B2E24" w:rsidRDefault="006A06D1" w:rsidP="006A06D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A4D74">
              <w:rPr>
                <w:rFonts w:ascii="標楷體" w:eastAsia="標楷體" w:hAnsi="標楷體" w:hint="eastAsia"/>
                <w:sz w:val="28"/>
              </w:rPr>
              <w:t>透過此課程，培養學生健康的性別價值觀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126102" w:rsidRDefault="006A06D1" w:rsidP="006A06D1">
            <w:p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五年級正是學生開始邁入青春期的階段，有些學生可能在四年級就已經開始出現第二性</w:t>
            </w:r>
            <w:proofErr w:type="gramStart"/>
            <w:r w:rsidRPr="00241B79">
              <w:rPr>
                <w:rFonts w:ascii="標楷體" w:eastAsia="標楷體" w:hAnsi="標楷體" w:hint="eastAsia"/>
              </w:rPr>
              <w:t>徵</w:t>
            </w:r>
            <w:proofErr w:type="gramEnd"/>
            <w:r w:rsidRPr="00241B79">
              <w:rPr>
                <w:rFonts w:ascii="標楷體" w:eastAsia="標楷體" w:hAnsi="標楷體" w:hint="eastAsia"/>
              </w:rPr>
              <w:t>。有些孩子因為不了解，而出現嘲笑其他人身體變化的情形，因此希望藉著這個活動，讓學生能夠有正確的知識，並且與不同性別的人有良好的互動。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E-A1</w:t>
            </w:r>
            <w:r w:rsidRPr="003C3F42">
              <w:rPr>
                <w:rFonts w:ascii="標楷體" w:eastAsia="標楷體" w:hAnsi="標楷體" w:hint="eastAsia"/>
              </w:rPr>
              <w:t xml:space="preserve"> 具備良好的生活習慣，促進身心健全發展，並認識個人特質，發展生命潛能。</w:t>
            </w:r>
          </w:p>
          <w:p w:rsidR="006A06D1" w:rsidRDefault="006A06D1" w:rsidP="00C7272F">
            <w:pPr>
              <w:spacing w:beforeLines="50" w:before="120"/>
              <w:rPr>
                <w:rFonts w:ascii="標楷體" w:eastAsia="標楷體" w:hAnsi="標楷體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3C3F42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C7272F">
              <w:rPr>
                <w:rFonts w:ascii="標楷體" w:eastAsia="標楷體" w:hAnsi="標楷體" w:hint="eastAsia"/>
                <w:b/>
              </w:rPr>
              <w:t>E-C3</w:t>
            </w:r>
            <w:r w:rsidRPr="003C3F42">
              <w:rPr>
                <w:rFonts w:ascii="標楷體" w:eastAsia="標楷體" w:hAnsi="標楷體" w:hint="eastAsia"/>
              </w:rPr>
              <w:t xml:space="preserve"> 具備理解與關心本土與國際事務的素養，並認識與包容文化的多元性。</w:t>
            </w:r>
          </w:p>
        </w:tc>
        <w:tc>
          <w:tcPr>
            <w:tcW w:w="1843" w:type="dxa"/>
            <w:gridSpan w:val="2"/>
            <w:vAlign w:val="center"/>
          </w:tcPr>
          <w:p w:rsidR="006A06D1" w:rsidRPr="008F7715" w:rsidRDefault="006A06D1" w:rsidP="006A06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-E-A1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具備良好身體活動與健康生活的習慣，以促進身心健全發展，並認識個人特質，發展運動與保健的潛能。</w:t>
            </w:r>
          </w:p>
          <w:p w:rsidR="006A06D1" w:rsidRPr="001841A6" w:rsidRDefault="006A06D1" w:rsidP="00C7272F">
            <w:pPr>
              <w:spacing w:beforeLines="50" w:before="12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健體</w:t>
            </w:r>
            <w:proofErr w:type="gramEnd"/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-E-A2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具備探索身體活動與健康生活問題的思考能力，並透過體驗與實踐，處理日常生活中運動與健康的問題。</w:t>
            </w:r>
          </w:p>
          <w:p w:rsidR="006A06D1" w:rsidRPr="00126102" w:rsidRDefault="006A06D1" w:rsidP="00C7272F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1841A6">
              <w:rPr>
                <w:rStyle w:val="af0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綜-E-C3</w:t>
            </w:r>
            <w:r w:rsidRPr="001841A6">
              <w:rPr>
                <w:rFonts w:ascii="標楷體" w:eastAsia="標楷體" w:hAnsi="標楷體"/>
                <w:color w:val="000000"/>
              </w:rPr>
              <w:br/>
            </w:r>
            <w:r w:rsidRPr="001841A6">
              <w:rPr>
                <w:rFonts w:ascii="標楷體" w:eastAsia="標楷體" w:hAnsi="標楷體"/>
                <w:color w:val="000000"/>
                <w:shd w:val="clear" w:color="auto" w:fill="FFFFFF"/>
              </w:rPr>
              <w:t>體驗與欣賞在地文化，尊重關懷不同族群，理解並包容文化的多元性。</w:t>
            </w:r>
          </w:p>
        </w:tc>
      </w:tr>
      <w:tr w:rsidR="006A06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6A06D1" w:rsidRPr="00126102" w:rsidRDefault="006A06D1" w:rsidP="006A06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6A06D1" w:rsidRPr="00241B79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認識青春期身體的變化。</w:t>
            </w:r>
          </w:p>
          <w:p w:rsidR="006A06D1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41B79">
              <w:rPr>
                <w:rFonts w:ascii="標楷體" w:eastAsia="標楷體" w:hAnsi="標楷體" w:hint="eastAsia"/>
              </w:rPr>
              <w:t>學會正確與異性互動的方法。</w:t>
            </w:r>
          </w:p>
          <w:p w:rsidR="006A06D1" w:rsidRPr="00126102" w:rsidRDefault="006A06D1" w:rsidP="006A06D1">
            <w:pPr>
              <w:widowControl w:val="0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41B79">
              <w:rPr>
                <w:rFonts w:ascii="標楷體" w:eastAsia="標楷體" w:hAnsi="標楷體" w:hint="eastAsia"/>
              </w:rPr>
              <w:t>尊重不同族群文化中的性別關係。</w:t>
            </w:r>
          </w:p>
        </w:tc>
      </w:tr>
    </w:tbl>
    <w:p w:rsidR="00B97820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"/>
        <w:gridCol w:w="1777"/>
        <w:gridCol w:w="1963"/>
        <w:gridCol w:w="1824"/>
        <w:gridCol w:w="1399"/>
        <w:gridCol w:w="3990"/>
        <w:gridCol w:w="1556"/>
        <w:gridCol w:w="1541"/>
      </w:tblGrid>
      <w:tr w:rsidR="006A06D1" w:rsidRPr="0034145B" w:rsidTr="00655EFE">
        <w:trPr>
          <w:trHeight w:val="649"/>
          <w:tblHeader/>
        </w:trPr>
        <w:tc>
          <w:tcPr>
            <w:tcW w:w="7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6A06D1" w:rsidRPr="0034145B" w:rsidRDefault="006A06D1" w:rsidP="00655EFE">
            <w:pPr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可學校自訂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</w:rPr>
            </w:pPr>
            <w:r w:rsidRPr="0034145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，必須至少2領域以上</w:t>
            </w:r>
          </w:p>
        </w:tc>
        <w:tc>
          <w:tcPr>
            <w:tcW w:w="48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30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34145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34145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6A06D1" w:rsidRPr="0034145B" w:rsidTr="00655EFE">
        <w:trPr>
          <w:trHeight w:val="1035"/>
          <w:tblHeader/>
        </w:trPr>
        <w:tc>
          <w:tcPr>
            <w:tcW w:w="16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145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單元名稱/節數</w:t>
            </w:r>
          </w:p>
        </w:tc>
        <w:tc>
          <w:tcPr>
            <w:tcW w:w="67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05540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一、引起動機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請學生發表升上五年級的自己與低年級的自己有什麼不同？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二、主要活動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)成長中的身體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1.教師引導學生思考：升上五年級的自己除了會做的事情變多了，身體也開始產生變化。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2.請學生舉手發表，身體上的變化有哪些？教師將學生所提到的改變依照性別的不同分別寫在黑板的左右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兩邊，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並將相同的部分寫在黑板的中間。讓學生可以分辨有些改變是不分男女，有些改變則是男女有別。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3.教師說明學生目前的年紀是開始邁入青春期，每個人青春期開始的時間都不一樣，有些人會比較早，有些人會比較晚。而且男女也有所不同，女生的青春期會出現的比較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早，男生則會比較晚。兩者相差大約2-3歲。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4.教師介紹男女生在青春期會出現的相同特徵。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(1)開始快速長高。過了青春期之後，人的身高變化就會變慢，甚至不再長高，因此鼓勵想要長高的學生要把握青春期。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(2)在意異性。受賀爾蒙的影響，這個時期的學生會開始在意異性，想要吸引異性的注意力，提醒學生要吸引異性的注意力，需要做出好的表現，而不是故意惡作劇，反而會引起對方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反感，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得不償失。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長出陰毛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、腋毛。這些毛髮是為了保護我們的身體，避免下體和腋下受傷而出現的。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(4)長青春痘。因為皮膚油脂分泌較多，又容易流汗，因此容易長出青春痘，減少油炸類食物的攝取，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並且做好清潔工作，才能減少青春痘。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5.教師引導學生說出兩性的第二性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，並補充介紹第二性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(1)男生第二性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：聲音變粗、肩膀變寬、長出鬍鬚、性器官變成熟。會出現夢遺的現象。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(2)女生第二性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徵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：胸部變大、臀部變大，全身變得柔軟有彈性。出現月經。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6.介紹男生及女生的身體構造。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子宮、卵巢、輸卵管、陰道。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(2)男生身體構造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—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睪丸、陰莖、陰囊、輸精管。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7.學生完成學習單---我的身體真奇妙。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細明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lastRenderedPageBreak/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(二)矮冬瓜與飛機場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1.教師請學生發表平時是否曾經聽過取笑其他人身材的語詞。提醒學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生不要做針對性的發言，只要說出聽過的語詞即可。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2.請學生發表當自己因為身材被取笑時的心情與感覺。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教師說明：只要是被取笑，都會讓人感到不舒服，這和性別沒有關係，因此不論男女生，都不應該取笑其他人的身材，而且每個人成長發育的時間不同，不是自己能夠控制的，拿這點來取笑其他人，真的很不可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：由於女生的青春期較早出現，因此各方面的表現都會比較成熟，加上有些男生因為自己還沒有進入青春期，所以會對進入青春期的女生產生好奇心，又不好意思表現，就故意用嘲笑；欺負的方式來吸引女生的注意力，但是這種情形只會讓女生更加討厭男生，覺得男生很幼稚，反而加深兩性之間的衝突。最好的方式仍然是正常的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聊天，親切溫柔的對待對方，才能讓彼此相處得更融洽。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5.情境演練：教師準備各種不同狀況卡片，學生分組後，針對卡片內容上台進行情境演練。教師針對學生所做出的反應和對話內容進行回饋。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(1)女生月經來，感到不舒服。男生上前關心女同學。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(2)男生生日快到了，想邀請女同學慶祝。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(3)女生對男同學所聊天的電動遊戲很感興趣，想要一起討論。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(4)看到其他男同學在取笑女生，想要上前阻止。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6.教師總結：與異性相處時，必須要展現合宜的行為，才能給對方留下良好的印象。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055401">
        <w:trPr>
          <w:trHeight w:val="226"/>
        </w:trPr>
        <w:tc>
          <w:tcPr>
            <w:tcW w:w="169" w:type="pct"/>
            <w:vAlign w:val="center"/>
          </w:tcPr>
          <w:p w:rsidR="006A06D1" w:rsidRPr="0034145B" w:rsidRDefault="00055401" w:rsidP="000554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="006A06D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(三)哥哥爸爸真偉大？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1.教師提問是否聽過俗諺：嫁雞隨雞，嫁狗隨狗。並請學生說明這句俗諺的意思。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2.教師說明其實這句話本來是「嫁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乞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，嫁叟隨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叟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。」但是不論是哪句話，都說明了傳統漢人社會中，女生的地位很低。而從前也會要求女生要有三從四德，也就是在家從父、出嫁從夫、</w:t>
            </w:r>
            <w:proofErr w:type="gramStart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夫死從子</w:t>
            </w:r>
            <w:proofErr w:type="gramEnd"/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。同樣具有類似的意思。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3.請學生發表自己還聽過或看過那些類似的例子。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4.教師說明這種重男輕女的現象，主要會發生在父系社會。因為這類的社會制度是由男性主導，男性具有繼承權，而小孩子出生後也一律從父姓。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5.教師說明除了父系社會，當然也有母系社會。台灣原住民就有屬於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母系社會的族群。請學生回家蒐集母系社會的資料，貼在學習單上。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6A06D1" w:rsidRPr="0034145B" w:rsidTr="00655EFE">
        <w:trPr>
          <w:trHeight w:val="1304"/>
        </w:trPr>
        <w:tc>
          <w:tcPr>
            <w:tcW w:w="169" w:type="pct"/>
            <w:vAlign w:val="center"/>
          </w:tcPr>
          <w:p w:rsidR="006A06D1" w:rsidRPr="0034145B" w:rsidRDefault="006A06D1" w:rsidP="00655E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05540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1" w:type="pct"/>
            <w:vAlign w:val="center"/>
          </w:tcPr>
          <w:p w:rsidR="006A06D1" w:rsidRPr="00227FCE" w:rsidRDefault="006A06D1" w:rsidP="00655E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7FCE">
              <w:rPr>
                <w:rFonts w:ascii="標楷體" w:eastAsia="標楷體" w:hAnsi="標楷體" w:hint="eastAsia"/>
                <w:sz w:val="26"/>
                <w:szCs w:val="26"/>
              </w:rPr>
              <w:t>令人欣喜的成長</w:t>
            </w:r>
            <w:r w:rsidR="00055401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675" w:type="pct"/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描述生活行為對個人與群體健康的影響。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2b-III-1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認同健康的生活規範、態度與價值觀。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欣賞並接納自己與他人。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34145B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2a-III-1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覺察多元性別的互動方式與情感表達，並運用同理心增進人際關係。</w:t>
            </w:r>
          </w:p>
        </w:tc>
        <w:tc>
          <w:tcPr>
            <w:tcW w:w="627" w:type="pct"/>
            <w:tcBorders>
              <w:right w:val="single" w:sz="4" w:space="0" w:color="auto"/>
            </w:tcBorders>
          </w:tcPr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Aa-III-2</w:t>
            </w:r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人生各階段的成長、轉變與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自我悅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【健體】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Db-III-2</w:t>
            </w:r>
            <w:proofErr w:type="gramStart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不</w:t>
            </w:r>
            <w:proofErr w:type="gramEnd"/>
            <w:r w:rsidRPr="001841A6">
              <w:rPr>
                <w:rFonts w:ascii="標楷體" w:eastAsia="標楷體" w:hAnsi="標楷體" w:cs="新細明體" w:hint="eastAsia"/>
                <w:sz w:val="22"/>
                <w:szCs w:val="22"/>
              </w:rPr>
              <w:t>同性傾向的基本概念與性別刻板印象的影響與因應方式。</w:t>
            </w:r>
          </w:p>
          <w:p w:rsidR="006A06D1" w:rsidRPr="001841A6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Aa-III-1</w:t>
            </w:r>
            <w:r w:rsidRPr="003C3F42">
              <w:rPr>
                <w:rFonts w:ascii="標楷體" w:eastAsia="標楷體" w:hAnsi="標楷體" w:cs="新細明體" w:hint="eastAsia"/>
                <w:sz w:val="22"/>
                <w:szCs w:val="22"/>
              </w:rPr>
              <w:t>自己與他人特質的欣賞及接納。</w:t>
            </w: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</w:p>
          <w:p w:rsidR="006A06D1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【綜合】</w:t>
            </w:r>
          </w:p>
          <w:p w:rsidR="006A06D1" w:rsidRPr="00B92D4D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Ba-III-2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同理心的增進與實踐。</w:t>
            </w:r>
          </w:p>
          <w:p w:rsidR="006A06D1" w:rsidRPr="003C3F42" w:rsidRDefault="006A06D1" w:rsidP="00655EFE">
            <w:pPr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Ba-III-3</w:t>
            </w:r>
            <w:r w:rsidRPr="00B92D4D">
              <w:rPr>
                <w:rFonts w:ascii="標楷體" w:eastAsia="標楷體" w:hAnsi="標楷體" w:cs="新細明體" w:hint="eastAsia"/>
                <w:sz w:val="22"/>
                <w:szCs w:val="22"/>
              </w:rPr>
              <w:t>正向人際關係與衝突解決能力的建立。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認識青春期身體的變化。</w:t>
            </w:r>
          </w:p>
          <w:p w:rsidR="006A06D1" w:rsidRPr="00241B79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學會正確與異性互動的方法。</w:t>
            </w:r>
          </w:p>
          <w:p w:rsidR="006A06D1" w:rsidRPr="0034145B" w:rsidRDefault="006A06D1" w:rsidP="00655EF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3.</w:t>
            </w:r>
            <w:r w:rsidRPr="00241B79">
              <w:rPr>
                <w:rFonts w:ascii="標楷體" w:eastAsia="標楷體" w:hAnsi="標楷體" w:cs="新細明體" w:hint="eastAsia"/>
                <w:sz w:val="22"/>
                <w:szCs w:val="22"/>
              </w:rPr>
              <w:t>尊重不同族群文化中的性別關係。</w:t>
            </w:r>
          </w:p>
        </w:tc>
        <w:tc>
          <w:tcPr>
            <w:tcW w:w="1372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6.學生分組後與同學分享自己找到的資料，並於小組內進行整理後，上台發表。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7.教師說明現在的臺灣是以男女平權為主，因此不論是繼承權還是小孩的監護權，女生也都擁有相同的權利。現在到戶政機關辦理新生兒的戶口登記時，小孩可以從父姓，也可以從母姓，只要家長兩人同意就可。在工作上，也有性別工作平等法在保護我們避免因為性別而遭受歧視。現在的臺灣已經逐步落實性別平等了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8.學生完成學習單。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三、歸納統整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教師再次強調要以健康的態度面對青春期，注意正確的保健，而與同學相處時，也要以合宜的態度來面對異性，這樣才是符合社會的期</w:t>
            </w: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待，也才能建立與異性融洽相處的社會。</w:t>
            </w:r>
          </w:p>
        </w:tc>
        <w:tc>
          <w:tcPr>
            <w:tcW w:w="535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專注聆聽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樂於分享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討論發表</w:t>
            </w:r>
          </w:p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27FCE">
              <w:rPr>
                <w:rFonts w:ascii="標楷體" w:eastAsia="標楷體" w:hAnsi="標楷體" w:cs="新細明體" w:hint="eastAsia"/>
                <w:sz w:val="26"/>
                <w:szCs w:val="26"/>
              </w:rPr>
              <w:t>完成學習單</w:t>
            </w:r>
          </w:p>
        </w:tc>
        <w:tc>
          <w:tcPr>
            <w:tcW w:w="530" w:type="pct"/>
            <w:vAlign w:val="center"/>
          </w:tcPr>
          <w:p w:rsidR="006A06D1" w:rsidRPr="00227FCE" w:rsidRDefault="006A06D1" w:rsidP="00655EF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6A06D1" w:rsidRPr="00126102" w:rsidRDefault="006A06D1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01" w:rsidRDefault="00E52301" w:rsidP="001E09F9">
      <w:r>
        <w:separator/>
      </w:r>
    </w:p>
  </w:endnote>
  <w:endnote w:type="continuationSeparator" w:id="0">
    <w:p w:rsidR="00E52301" w:rsidRDefault="00E5230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01" w:rsidRDefault="00E52301" w:rsidP="001E09F9">
      <w:r>
        <w:separator/>
      </w:r>
    </w:p>
  </w:footnote>
  <w:footnote w:type="continuationSeparator" w:id="0">
    <w:p w:rsidR="00E52301" w:rsidRDefault="00E5230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75" w:rsidRDefault="00CB4075" w:rsidP="00CB4075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1841A6" w:rsidRPr="00CB4075" w:rsidRDefault="001841A6" w:rsidP="00CB4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55401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1A6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1C2A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06D1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0505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17C15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82D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7272F"/>
    <w:rsid w:val="00C945B9"/>
    <w:rsid w:val="00C96863"/>
    <w:rsid w:val="00CB4075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24361"/>
    <w:rsid w:val="00E31D75"/>
    <w:rsid w:val="00E3297D"/>
    <w:rsid w:val="00E33A77"/>
    <w:rsid w:val="00E50D4A"/>
    <w:rsid w:val="00E52301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22E7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D552-089E-4E87-91CD-95D572BF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1627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</cp:revision>
  <cp:lastPrinted>2019-03-26T07:40:00Z</cp:lastPrinted>
  <dcterms:created xsi:type="dcterms:W3CDTF">2023-07-02T10:04:00Z</dcterms:created>
  <dcterms:modified xsi:type="dcterms:W3CDTF">2024-07-07T15:34:00Z</dcterms:modified>
</cp:coreProperties>
</file>